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Firhouse Educate Together National School,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-363854</wp:posOffset>
            </wp:positionV>
            <wp:extent cx="980440" cy="11601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6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color w:val="002060"/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Ballycullen Drive, Firhouse, Dublin 24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Tel: 01 4061010 Email: </w:t>
      </w:r>
      <w:hyperlink r:id="rId8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firhouseetns@gmail.com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www.firhouseetns.ie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72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Booklist/Resources for Fourth Class 2022/23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Parents and Guardians,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purchase the following books in your local book shop and ensure that your child has all books clearly labelled with their name.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English: Oxford Primary Dictionary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 </w:t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€8.06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No need to repurchase if your child already has this in school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Maths:  Master your Maths 4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  <w:tab/>
        <w:tab/>
        <w:tab/>
        <w:t xml:space="preserve">€9.</w:t>
      </w:r>
      <w:r w:rsidDel="00000000" w:rsidR="00000000" w:rsidRPr="00000000">
        <w:rPr>
          <w:rFonts w:ascii="Arial" w:cs="Arial" w:eastAsia="Arial" w:hAnsi="Arial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Busy at Maths 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Class  (schoolbooksdirect.ie)</w:t>
        <w:tab/>
        <w:tab/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22.25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Scientific Calculator Casio (schoolbooksdirect.ie)</w:t>
        <w:tab/>
        <w:tab/>
        <w:tab/>
        <w:tab/>
        <w:t xml:space="preserve">€17.09</w:t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Irish:  Collins Irish/English School Dictionary (easons.com)</w:t>
        <w:tab/>
        <w:tab/>
        <w:tab/>
        <w:tab/>
        <w:t xml:space="preserve">€9.80</w:t>
      </w:r>
    </w:p>
    <w:p w:rsidR="00000000" w:rsidDel="00000000" w:rsidP="00000000" w:rsidRDefault="00000000" w:rsidRPr="00000000" w14:paraId="00000013">
      <w:pPr>
        <w:ind w:left="72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No need to repurchase if your child already has this in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Geography: Collins Primary Atlas – Learn With Maps (BookDepository.com)</w:t>
        <w:tab/>
        <w:t xml:space="preserve">€7.62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No need to repurchase if your child already has this in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your child with the following resources: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Pencil Case including: 2 x HB Pencils, 1x Red Pen, Pencil Sharpener (no novelty),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Ruler, Eraser (no novelty), 1 x Pritt Stick Glue, Colouring pencils</w:t>
        <w:tab/>
        <w:t xml:space="preserve"> </w:t>
        <w:tab/>
        <w:tab/>
        <w:t xml:space="preserve">€12.00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Approximate cost depending on where you purchase items</w:t>
        <w:tab/>
        <w:t xml:space="preserve">       </w:t>
        <w:tab/>
        <w:tab/>
        <w:t xml:space="preserve"> €98.04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The following are supplied by the school and we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will send you an online payment request shortly for €1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to cover same, payable by 30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August 2022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Pupil Personal 24-hour Insurance</w:t>
        <w:tab/>
        <w:tab/>
        <w:tab/>
        <w:tab/>
        <w:tab/>
        <w:t xml:space="preserve">  </w:t>
        <w:tab/>
        <w:tab/>
        <w:tab/>
        <w:t xml:space="preserve">€8.00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Copies for the year, folder and document wallet </w:t>
        <w:tab/>
        <w:tab/>
        <w:t xml:space="preserve"> </w:t>
        <w:tab/>
        <w:tab/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Book Rental Scheme: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(Includes selection of graded readers, supplementary readers,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parallel readers - large / small format books etc.)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€3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Photocopying/Online Resources                              </w:t>
        <w:tab/>
        <w:tab/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Arts &amp; Sports Materials                                                              </w:t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Membership of Educate Together</w:t>
        <w:tab/>
        <w:tab/>
        <w:tab/>
        <w:tab/>
        <w:tab/>
        <w:t xml:space="preserve"> </w:t>
        <w:tab/>
        <w:tab/>
        <w:tab/>
        <w:t xml:space="preserve">€15.00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Total Cost                                             </w:t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         </w:t>
        <w:tab/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         €1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Art: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an old large t-shirt to wear over clothing for art, which will be kept in school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Please make sure to put your child’s name on it and on all clothing they bring into school</w:t>
      </w: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n-IE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rhouseetns.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irhouseetn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S4ufOonxcOLSqAwF2OsdLEnvw==">AMUW2mXQwa2E1QksyVgymtfcL9mi3eRGyAKHIa4h3ncUisUu35JMxgAcePJw+aNaM6F+T9ZVQQieIsjTATVeGIMOlOAqsEWtYTQRxIqlkaJN/Rg4v8oofLK3XBnxM+G2UP9kxNyF8rcMD7KKAHdeyNFmHpk2rpIu/g==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2018-06-01T08:20:00Z</dcterms:created>
  <dc:creator>Gerry Breslin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